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913" w:rsidP="00AD7913" w:rsidRDefault="00AD7913" w14:paraId="496FD360" w14:textId="258FE955">
      <w:pPr>
        <w:spacing w:before="100" w:beforeAutospacing="1" w:after="100" w:afterAutospacing="1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>ATLANTIC PROVINCES EXERCISE SCIENTISTS AND SOCIOCULTURISTS 2023 (APES+ 2023)</w:t>
      </w:r>
    </w:p>
    <w:p w:rsidRPr="00AD7913" w:rsidR="00AD7913" w:rsidP="00AD7913" w:rsidRDefault="00AD7913" w14:paraId="32364D62" w14:textId="11D5C68C">
      <w:pPr>
        <w:spacing w:before="100" w:beforeAutospacing="1" w:after="100" w:afterAutospacing="1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fr-FR"/>
        </w:rPr>
      </w:pPr>
      <w:r w:rsidRPr="00AD7913">
        <w:rPr>
          <w:rFonts w:ascii="Times New Roman" w:hAnsi="Times New Roman" w:eastAsia="Times New Roman" w:cs="Times New Roman"/>
          <w:b/>
          <w:bCs/>
          <w:sz w:val="36"/>
          <w:szCs w:val="36"/>
          <w:lang w:val="fr-FR"/>
        </w:rPr>
        <w:t>Université de Moncton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val="fr-FR"/>
        </w:rPr>
        <w:t>, Moncton, NB</w:t>
      </w:r>
    </w:p>
    <w:p w:rsidRPr="00AD7913" w:rsidR="00AD7913" w:rsidP="00AD7913" w:rsidRDefault="00AD7913" w14:paraId="6D3A810F" w14:textId="345C0670">
      <w:pPr>
        <w:spacing w:before="100" w:beforeAutospacing="1" w:after="100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fr-FR"/>
        </w:rPr>
      </w:pPr>
      <w:r w:rsidRPr="00AD7913">
        <w:rPr>
          <w:rFonts w:ascii="Times New Roman" w:hAnsi="Times New Roman" w:eastAsia="Times New Roman" w:cs="Times New Roman"/>
          <w:b/>
          <w:bCs/>
          <w:sz w:val="36"/>
          <w:szCs w:val="36"/>
          <w:lang w:val="fr-FR"/>
        </w:rPr>
        <w:t xml:space="preserve">General </w:t>
      </w:r>
      <w:proofErr w:type="spellStart"/>
      <w:r w:rsidRPr="00AD7913">
        <w:rPr>
          <w:rFonts w:ascii="Times New Roman" w:hAnsi="Times New Roman" w:eastAsia="Times New Roman" w:cs="Times New Roman"/>
          <w:b/>
          <w:bCs/>
          <w:sz w:val="36"/>
          <w:szCs w:val="36"/>
          <w:lang w:val="fr-FR"/>
        </w:rPr>
        <w:t>Conference</w:t>
      </w:r>
      <w:proofErr w:type="spellEnd"/>
      <w:r w:rsidRPr="00AD7913">
        <w:rPr>
          <w:rFonts w:ascii="Times New Roman" w:hAnsi="Times New Roman" w:eastAsia="Times New Roman" w:cs="Times New Roman"/>
          <w:b/>
          <w:bCs/>
          <w:sz w:val="36"/>
          <w:szCs w:val="36"/>
          <w:lang w:val="fr-FR"/>
        </w:rPr>
        <w:t xml:space="preserve"> Information</w:t>
      </w:r>
    </w:p>
    <w:p w:rsidRPr="00AD7913" w:rsidR="00AD7913" w:rsidP="00AD7913" w:rsidRDefault="00AD7913" w14:paraId="78762065" w14:textId="6F3E2DA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eastAsia="Times New Roman" w:cs="Times New Roman"/>
        </w:rPr>
      </w:pPr>
      <w:r w:rsidRPr="00AD7913">
        <w:rPr>
          <w:rFonts w:ascii="Times New Roman" w:hAnsi="Times New Roman" w:eastAsia="Times New Roman" w:cs="Times New Roman"/>
        </w:rPr>
        <w:t>APES+ will be held at</w:t>
      </w:r>
      <w:r>
        <w:rPr>
          <w:rFonts w:ascii="Times New Roman" w:hAnsi="Times New Roman" w:eastAsia="Times New Roman" w:cs="Times New Roman"/>
        </w:rPr>
        <w:t xml:space="preserve"> the</w:t>
      </w:r>
      <w:r w:rsidRPr="00AD7913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Université de Moncton </w:t>
      </w:r>
      <w:r w:rsidRPr="00AD7913">
        <w:rPr>
          <w:rFonts w:ascii="Times New Roman" w:hAnsi="Times New Roman" w:eastAsia="Times New Roman" w:cs="Times New Roman"/>
        </w:rPr>
        <w:t>in</w:t>
      </w:r>
      <w:r>
        <w:rPr>
          <w:rFonts w:ascii="Times New Roman" w:hAnsi="Times New Roman" w:eastAsia="Times New Roman" w:cs="Times New Roman"/>
        </w:rPr>
        <w:t xml:space="preserve"> </w:t>
      </w:r>
      <w:r w:rsidRPr="00AD7913">
        <w:rPr>
          <w:rFonts w:ascii="Times New Roman" w:hAnsi="Times New Roman" w:eastAsia="Times New Roman" w:cs="Times New Roman"/>
        </w:rPr>
        <w:t xml:space="preserve">CEPS Louis-J.-Robichaud </w:t>
      </w:r>
      <w:r>
        <w:rPr>
          <w:rFonts w:ascii="Times New Roman" w:hAnsi="Times New Roman" w:eastAsia="Times New Roman" w:cs="Times New Roman"/>
        </w:rPr>
        <w:t xml:space="preserve">building. The address is </w:t>
      </w:r>
      <w:r w:rsidRPr="00AD7913">
        <w:rPr>
          <w:rFonts w:ascii="Times New Roman" w:hAnsi="Times New Roman" w:eastAsia="Times New Roman" w:cs="Times New Roman"/>
        </w:rPr>
        <w:t xml:space="preserve">40, </w:t>
      </w:r>
      <w:proofErr w:type="spellStart"/>
      <w:r w:rsidRPr="00AD7913">
        <w:rPr>
          <w:rFonts w:ascii="Times New Roman" w:hAnsi="Times New Roman" w:eastAsia="Times New Roman" w:cs="Times New Roman"/>
        </w:rPr>
        <w:t>av</w:t>
      </w:r>
      <w:r w:rsidR="00E21D98">
        <w:rPr>
          <w:rFonts w:ascii="Times New Roman" w:hAnsi="Times New Roman" w:eastAsia="Times New Roman" w:cs="Times New Roman"/>
        </w:rPr>
        <w:t>e</w:t>
      </w:r>
      <w:proofErr w:type="spellEnd"/>
      <w:r w:rsidRPr="00AD7913">
        <w:rPr>
          <w:rFonts w:ascii="Times New Roman" w:hAnsi="Times New Roman" w:eastAsia="Times New Roman" w:cs="Times New Roman"/>
        </w:rPr>
        <w:t xml:space="preserve"> Antonine-</w:t>
      </w:r>
      <w:proofErr w:type="spellStart"/>
      <w:r w:rsidRPr="00AD7913">
        <w:rPr>
          <w:rFonts w:ascii="Times New Roman" w:hAnsi="Times New Roman" w:eastAsia="Times New Roman" w:cs="Times New Roman"/>
        </w:rPr>
        <w:t>Maillet</w:t>
      </w:r>
      <w:proofErr w:type="spellEnd"/>
      <w:r w:rsidRPr="00AD7913">
        <w:rPr>
          <w:rFonts w:ascii="Times New Roman" w:hAnsi="Times New Roman" w:eastAsia="Times New Roman" w:cs="Times New Roman"/>
        </w:rPr>
        <w:t xml:space="preserve"> Moncton, NB E1A 3E9</w:t>
      </w:r>
      <w:r>
        <w:rPr>
          <w:rFonts w:ascii="Times New Roman" w:hAnsi="Times New Roman" w:eastAsia="Times New Roman" w:cs="Times New Roman"/>
        </w:rPr>
        <w:t xml:space="preserve">. </w:t>
      </w:r>
    </w:p>
    <w:p w:rsidRPr="00AD7913" w:rsidR="00AD7913" w:rsidP="00AD7913" w:rsidRDefault="00AD7913" w14:paraId="66C5BDF2" w14:textId="586968C1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eastAsia="Times New Roman" w:cs="Times New Roman"/>
        </w:rPr>
      </w:pPr>
      <w:r w:rsidRPr="00AD7913">
        <w:rPr>
          <w:rFonts w:ascii="Times New Roman" w:hAnsi="Times New Roman" w:eastAsia="Times New Roman" w:cs="Times New Roman"/>
        </w:rPr>
        <w:t xml:space="preserve">The conference will begin </w:t>
      </w:r>
      <w:r>
        <w:rPr>
          <w:rFonts w:ascii="Times New Roman" w:hAnsi="Times New Roman" w:eastAsia="Times New Roman" w:cs="Times New Roman"/>
        </w:rPr>
        <w:t>at noon on the 30</w:t>
      </w:r>
      <w:r w:rsidRPr="00AD7913">
        <w:rPr>
          <w:rFonts w:ascii="Times New Roman" w:hAnsi="Times New Roman" w:eastAsia="Times New Roman" w:cs="Times New Roman"/>
          <w:vertAlign w:val="superscript"/>
        </w:rPr>
        <w:t>th</w:t>
      </w:r>
      <w:r>
        <w:rPr>
          <w:rFonts w:ascii="Times New Roman" w:hAnsi="Times New Roman" w:eastAsia="Times New Roman" w:cs="Times New Roman"/>
        </w:rPr>
        <w:t xml:space="preserve"> of march and will conclude at noon on the 31</w:t>
      </w:r>
      <w:r w:rsidRPr="00AD7913">
        <w:rPr>
          <w:rFonts w:ascii="Times New Roman" w:hAnsi="Times New Roman" w:eastAsia="Times New Roman" w:cs="Times New Roman"/>
          <w:vertAlign w:val="superscript"/>
        </w:rPr>
        <w:t>st</w:t>
      </w:r>
      <w:r>
        <w:rPr>
          <w:rFonts w:ascii="Times New Roman" w:hAnsi="Times New Roman" w:eastAsia="Times New Roman" w:cs="Times New Roman"/>
        </w:rPr>
        <w:t xml:space="preserve"> of march. </w:t>
      </w:r>
    </w:p>
    <w:p w:rsidRPr="00AD7913" w:rsidR="00AD7913" w:rsidP="77A46A01" w:rsidRDefault="00AD7913" w14:paraId="4B14E579" w14:textId="53E5ACC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eastAsia="Times New Roman" w:cs="Times New Roman"/>
        </w:rPr>
      </w:pPr>
      <w:r w:rsidRPr="77A46A01">
        <w:rPr>
          <w:rFonts w:ascii="Times New Roman" w:hAnsi="Times New Roman" w:eastAsia="Times New Roman" w:cs="Times New Roman"/>
        </w:rPr>
        <w:t xml:space="preserve">Parking will be available on Campus and will be </w:t>
      </w:r>
      <w:r w:rsidRPr="77A46A01" w:rsidR="7D61386E">
        <w:rPr>
          <w:rFonts w:ascii="Times New Roman" w:hAnsi="Times New Roman" w:eastAsia="Times New Roman" w:cs="Times New Roman"/>
        </w:rPr>
        <w:t>4$/hour or 14$/day</w:t>
      </w:r>
      <w:r w:rsidRPr="77A46A01">
        <w:rPr>
          <w:rFonts w:ascii="Times New Roman" w:hAnsi="Times New Roman" w:eastAsia="Times New Roman" w:cs="Times New Roman"/>
        </w:rPr>
        <w:t xml:space="preserve">.  </w:t>
      </w:r>
    </w:p>
    <w:p w:rsidRPr="00AD7913" w:rsidR="00AD7913" w:rsidP="00AD7913" w:rsidRDefault="00AD7913" w14:paraId="7BB436C2" w14:textId="7E62476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eastAsia="Times New Roman" w:cs="Times New Roman"/>
        </w:rPr>
      </w:pPr>
      <w:r w:rsidRPr="00AD7913">
        <w:rPr>
          <w:rFonts w:ascii="Times New Roman" w:hAnsi="Times New Roman" w:eastAsia="Times New Roman" w:cs="Times New Roman"/>
        </w:rPr>
        <w:t xml:space="preserve">The banquet will be held on </w:t>
      </w:r>
      <w:r>
        <w:rPr>
          <w:rFonts w:ascii="Times New Roman" w:hAnsi="Times New Roman" w:eastAsia="Times New Roman" w:cs="Times New Roman"/>
        </w:rPr>
        <w:t>Thursday</w:t>
      </w:r>
      <w:r w:rsidRPr="00AD7913">
        <w:rPr>
          <w:rFonts w:ascii="Times New Roman" w:hAnsi="Times New Roman" w:eastAsia="Times New Roman" w:cs="Times New Roman"/>
        </w:rPr>
        <w:t xml:space="preserve"> evening </w:t>
      </w:r>
      <w:r>
        <w:rPr>
          <w:rFonts w:ascii="Times New Roman" w:hAnsi="Times New Roman" w:eastAsia="Times New Roman" w:cs="Times New Roman"/>
        </w:rPr>
        <w:t>at the Resto 63</w:t>
      </w:r>
      <w:r w:rsidRPr="00AD7913">
        <w:rPr>
          <w:rFonts w:ascii="Times New Roman" w:hAnsi="Times New Roman" w:eastAsia="Times New Roman" w:cs="Times New Roman"/>
        </w:rPr>
        <w:t xml:space="preserve">, located </w:t>
      </w:r>
      <w:r>
        <w:rPr>
          <w:rFonts w:ascii="Times New Roman" w:hAnsi="Times New Roman" w:eastAsia="Times New Roman" w:cs="Times New Roman"/>
        </w:rPr>
        <w:t xml:space="preserve">in the </w:t>
      </w:r>
      <w:r w:rsidRPr="00AD7913">
        <w:rPr>
          <w:rFonts w:ascii="Times New Roman" w:hAnsi="Times New Roman" w:eastAsia="Times New Roman" w:cs="Times New Roman"/>
        </w:rPr>
        <w:t xml:space="preserve">Centre </w:t>
      </w:r>
      <w:proofErr w:type="spellStart"/>
      <w:r w:rsidRPr="00AD7913">
        <w:rPr>
          <w:rFonts w:ascii="Times New Roman" w:hAnsi="Times New Roman" w:eastAsia="Times New Roman" w:cs="Times New Roman"/>
        </w:rPr>
        <w:t>étudiant</w:t>
      </w:r>
      <w:proofErr w:type="spellEnd"/>
      <w:r w:rsidRPr="00AD7913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0AD7913">
        <w:rPr>
          <w:rFonts w:ascii="Times New Roman" w:hAnsi="Times New Roman" w:eastAsia="Times New Roman" w:cs="Times New Roman"/>
        </w:rPr>
        <w:t>Mawiomi</w:t>
      </w:r>
      <w:proofErr w:type="spellEnd"/>
      <w:r w:rsidRPr="00AD7913">
        <w:rPr>
          <w:rFonts w:ascii="Times New Roman" w:hAnsi="Times New Roman" w:eastAsia="Times New Roman" w:cs="Times New Roman"/>
        </w:rPr>
        <w:t>.</w:t>
      </w:r>
    </w:p>
    <w:p w:rsidRPr="00AD7913" w:rsidR="00AD7913" w:rsidP="00AD7913" w:rsidRDefault="00AD7913" w14:paraId="4BA5AE95" w14:textId="77777777">
      <w:pPr>
        <w:spacing w:before="100" w:beforeAutospacing="1" w:after="100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 w:rsidRPr="00AD7913">
        <w:rPr>
          <w:rFonts w:ascii="Times New Roman" w:hAnsi="Times New Roman" w:eastAsia="Times New Roman" w:cs="Times New Roman"/>
          <w:b/>
          <w:bCs/>
          <w:sz w:val="36"/>
          <w:szCs w:val="36"/>
        </w:rPr>
        <w:t>Conference Hotel</w:t>
      </w:r>
    </w:p>
    <w:p w:rsidRPr="00AD7913" w:rsidR="00AD7913" w:rsidP="77A46A01" w:rsidRDefault="00AD7913" w14:paraId="2E275895" w14:textId="38202DF7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eastAsia="Times New Roman" w:cs="Times New Roman"/>
        </w:rPr>
      </w:pPr>
      <w:r w:rsidRPr="77A46A01">
        <w:rPr>
          <w:rFonts w:ascii="Times New Roman" w:hAnsi="Times New Roman" w:eastAsia="Times New Roman" w:cs="Times New Roman"/>
        </w:rPr>
        <w:t xml:space="preserve">The </w:t>
      </w:r>
      <w:r w:rsidRPr="77A46A01" w:rsidR="034B5172">
        <w:rPr>
          <w:rFonts w:ascii="Times New Roman" w:hAnsi="Times New Roman" w:eastAsia="Times New Roman" w:cs="Times New Roman"/>
        </w:rPr>
        <w:t xml:space="preserve">Best Western Plus Moncton </w:t>
      </w:r>
      <w:r w:rsidRPr="77A46A01">
        <w:rPr>
          <w:rFonts w:ascii="Times New Roman" w:hAnsi="Times New Roman" w:eastAsia="Times New Roman" w:cs="Times New Roman"/>
        </w:rPr>
        <w:t xml:space="preserve">will serve as the conference hotel.  Directions between the </w:t>
      </w:r>
      <w:r w:rsidRPr="77A46A01" w:rsidR="6CE6E3C8">
        <w:rPr>
          <w:rFonts w:ascii="Times New Roman" w:hAnsi="Times New Roman" w:eastAsia="Times New Roman" w:cs="Times New Roman"/>
        </w:rPr>
        <w:t>Best Western Plus Moncton</w:t>
      </w:r>
      <w:r w:rsidRPr="77A46A01">
        <w:rPr>
          <w:rFonts w:ascii="Times New Roman" w:hAnsi="Times New Roman" w:eastAsia="Times New Roman" w:cs="Times New Roman"/>
        </w:rPr>
        <w:t xml:space="preserve"> and the CEPS (~</w:t>
      </w:r>
      <w:r w:rsidRPr="77A46A01" w:rsidR="625D97A4">
        <w:rPr>
          <w:rFonts w:ascii="Times New Roman" w:hAnsi="Times New Roman" w:eastAsia="Times New Roman" w:cs="Times New Roman"/>
        </w:rPr>
        <w:t>3</w:t>
      </w:r>
      <w:r w:rsidRPr="77A46A01">
        <w:rPr>
          <w:rFonts w:ascii="Times New Roman" w:hAnsi="Times New Roman" w:eastAsia="Times New Roman" w:cs="Times New Roman"/>
        </w:rPr>
        <w:t xml:space="preserve"> km) can be found on</w:t>
      </w:r>
      <w:r w:rsidRPr="77A46A01">
        <w:rPr>
          <w:rFonts w:ascii="Times New Roman" w:hAnsi="Times New Roman" w:eastAsia="Times New Roman" w:cs="Times New Roman"/>
          <w:color w:val="4472C4" w:themeColor="accent1"/>
        </w:rPr>
        <w:t xml:space="preserve"> </w:t>
      </w:r>
      <w:hyperlink r:id="rId7">
        <w:r w:rsidRPr="77A46A01">
          <w:rPr>
            <w:rStyle w:val="Hyperlink"/>
            <w:rFonts w:ascii="Times New Roman" w:hAnsi="Times New Roman" w:eastAsia="Times New Roman" w:cs="Times New Roman"/>
            <w:color w:val="4472C4" w:themeColor="accent1"/>
          </w:rPr>
          <w:t>m</w:t>
        </w:r>
        <w:r w:rsidRPr="77A46A01">
          <w:rPr>
            <w:rStyle w:val="Hyperlink"/>
            <w:rFonts w:ascii="Times New Roman" w:hAnsi="Times New Roman" w:eastAsia="Times New Roman" w:cs="Times New Roman"/>
            <w:color w:val="4472C4" w:themeColor="accent1"/>
          </w:rPr>
          <w:t>a</w:t>
        </w:r>
        <w:r w:rsidRPr="77A46A01">
          <w:rPr>
            <w:rStyle w:val="Hyperlink"/>
            <w:rFonts w:ascii="Times New Roman" w:hAnsi="Times New Roman" w:eastAsia="Times New Roman" w:cs="Times New Roman"/>
            <w:color w:val="4472C4" w:themeColor="accent1"/>
          </w:rPr>
          <w:t>p</w:t>
        </w:r>
      </w:hyperlink>
      <w:r w:rsidRPr="77A46A01">
        <w:rPr>
          <w:rFonts w:ascii="Times New Roman" w:hAnsi="Times New Roman" w:eastAsia="Times New Roman" w:cs="Times New Roman"/>
        </w:rPr>
        <w:t>.</w:t>
      </w:r>
    </w:p>
    <w:p w:rsidRPr="00AD7913" w:rsidR="00AD7913" w:rsidP="77A46A01" w:rsidRDefault="00AD7913" w14:paraId="367E066D" w14:textId="598B8257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eastAsia="Times New Roman" w:cs="Times New Roman"/>
        </w:rPr>
      </w:pPr>
      <w:r w:rsidRPr="77A46A01">
        <w:rPr>
          <w:rFonts w:ascii="Times New Roman" w:hAnsi="Times New Roman" w:eastAsia="Times New Roman" w:cs="Times New Roman"/>
        </w:rPr>
        <w:t>A block of 20 rooms have been held for the night of the 30</w:t>
      </w:r>
      <w:r w:rsidRPr="77A46A01">
        <w:rPr>
          <w:rFonts w:ascii="Times New Roman" w:hAnsi="Times New Roman" w:eastAsia="Times New Roman" w:cs="Times New Roman"/>
          <w:vertAlign w:val="superscript"/>
        </w:rPr>
        <w:t>th</w:t>
      </w:r>
      <w:r w:rsidRPr="77A46A01">
        <w:rPr>
          <w:rFonts w:ascii="Times New Roman" w:hAnsi="Times New Roman" w:eastAsia="Times New Roman" w:cs="Times New Roman"/>
        </w:rPr>
        <w:t>. The nightly rate is $</w:t>
      </w:r>
      <w:r w:rsidRPr="77A46A01" w:rsidR="555E858B">
        <w:rPr>
          <w:rFonts w:ascii="Times New Roman" w:hAnsi="Times New Roman" w:eastAsia="Times New Roman" w:cs="Times New Roman"/>
        </w:rPr>
        <w:t>114</w:t>
      </w:r>
      <w:r w:rsidRPr="77A46A01" w:rsidR="17B1DF63">
        <w:rPr>
          <w:rFonts w:ascii="Times New Roman" w:hAnsi="Times New Roman" w:eastAsia="Times New Roman" w:cs="Times New Roman"/>
        </w:rPr>
        <w:t xml:space="preserve"> </w:t>
      </w:r>
      <w:r w:rsidRPr="77A46A01" w:rsidR="555E858B">
        <w:rPr>
          <w:rFonts w:ascii="Times New Roman" w:hAnsi="Times New Roman" w:eastAsia="Times New Roman" w:cs="Times New Roman"/>
        </w:rPr>
        <w:t>+</w:t>
      </w:r>
      <w:r w:rsidRPr="77A46A01" w:rsidR="17B1DF63">
        <w:rPr>
          <w:rFonts w:ascii="Times New Roman" w:hAnsi="Times New Roman" w:eastAsia="Times New Roman" w:cs="Times New Roman"/>
        </w:rPr>
        <w:t xml:space="preserve"> </w:t>
      </w:r>
      <w:r w:rsidRPr="77A46A01" w:rsidR="555E858B">
        <w:rPr>
          <w:rFonts w:ascii="Times New Roman" w:hAnsi="Times New Roman" w:eastAsia="Times New Roman" w:cs="Times New Roman"/>
        </w:rPr>
        <w:t>taxes</w:t>
      </w:r>
      <w:r w:rsidRPr="77A46A01">
        <w:rPr>
          <w:rFonts w:ascii="Times New Roman" w:hAnsi="Times New Roman" w:eastAsia="Times New Roman" w:cs="Times New Roman"/>
        </w:rPr>
        <w:t>.  Group rates are for single or double occupancy.  Rates are subject to applicable taxes and fees.</w:t>
      </w:r>
    </w:p>
    <w:p w:rsidRPr="00AD7913" w:rsidR="00AD7913" w:rsidP="77A46A01" w:rsidRDefault="00AD7913" w14:paraId="1BC94337" w14:textId="319357F4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eastAsia="Times New Roman" w:cs="Times New Roman"/>
        </w:rPr>
      </w:pPr>
      <w:r w:rsidRPr="77A46A01">
        <w:rPr>
          <w:rFonts w:ascii="Times New Roman" w:hAnsi="Times New Roman" w:eastAsia="Times New Roman" w:cs="Times New Roman"/>
        </w:rPr>
        <w:t xml:space="preserve">Parking at the hotel is </w:t>
      </w:r>
      <w:r w:rsidRPr="77A46A01" w:rsidR="5ACF4D37">
        <w:rPr>
          <w:rFonts w:ascii="Times New Roman" w:hAnsi="Times New Roman" w:eastAsia="Times New Roman" w:cs="Times New Roman"/>
        </w:rPr>
        <w:t>free</w:t>
      </w:r>
      <w:r w:rsidRPr="77A46A01">
        <w:rPr>
          <w:rFonts w:ascii="Times New Roman" w:hAnsi="Times New Roman" w:eastAsia="Times New Roman" w:cs="Times New Roman"/>
        </w:rPr>
        <w:t xml:space="preserve"> for registered guests.  </w:t>
      </w:r>
    </w:p>
    <w:p w:rsidRPr="00AD7913" w:rsidR="00AD7913" w:rsidP="00AD7913" w:rsidRDefault="00AD7913" w14:paraId="132450A0" w14:textId="30ADD77E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eastAsia="Times New Roman" w:cs="Times New Roman"/>
        </w:rPr>
      </w:pPr>
      <w:r w:rsidRPr="00AD7913">
        <w:rPr>
          <w:rFonts w:ascii="Times New Roman" w:hAnsi="Times New Roman" w:eastAsia="Times New Roman" w:cs="Times New Roman"/>
        </w:rPr>
        <w:t xml:space="preserve">The block of rooms will be held until </w:t>
      </w:r>
      <w:r w:rsidRPr="00AD7913">
        <w:rPr>
          <w:rFonts w:ascii="Times New Roman" w:hAnsi="Times New Roman" w:eastAsia="Times New Roman" w:cs="Times New Roman"/>
          <w:b/>
          <w:bCs/>
        </w:rPr>
        <w:t>Friday, February 2</w:t>
      </w:r>
      <w:r>
        <w:rPr>
          <w:rFonts w:ascii="Times New Roman" w:hAnsi="Times New Roman" w:eastAsia="Times New Roman" w:cs="Times New Roman"/>
          <w:b/>
          <w:bCs/>
        </w:rPr>
        <w:t>8th</w:t>
      </w:r>
      <w:r w:rsidRPr="00AD7913">
        <w:rPr>
          <w:rFonts w:ascii="Times New Roman" w:hAnsi="Times New Roman" w:eastAsia="Times New Roman" w:cs="Times New Roman"/>
        </w:rPr>
        <w:t>, so please book prior to this date.</w:t>
      </w:r>
    </w:p>
    <w:p w:rsidRPr="00AD7913" w:rsidR="00AD7913" w:rsidP="77A46A01" w:rsidRDefault="00AD7913" w14:paraId="7335D414" w14:textId="1A83FAF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eastAsia="Times New Roman" w:cs="Times New Roman"/>
        </w:rPr>
      </w:pPr>
      <w:r w:rsidRPr="77A46A01">
        <w:rPr>
          <w:rFonts w:ascii="Times New Roman" w:hAnsi="Times New Roman" w:eastAsia="Times New Roman" w:cs="Times New Roman"/>
        </w:rPr>
        <w:t xml:space="preserve">To book reservations, please contact their Reservations Department by phone at </w:t>
      </w:r>
      <w:r w:rsidRPr="77A46A01" w:rsidR="3DA623C0">
        <w:rPr>
          <w:rFonts w:ascii="Times New Roman" w:hAnsi="Times New Roman" w:eastAsia="Times New Roman" w:cs="Times New Roman"/>
        </w:rPr>
        <w:t>(506)388-0888</w:t>
      </w:r>
      <w:r w:rsidRPr="77A46A01" w:rsidR="1D86016C">
        <w:rPr>
          <w:rFonts w:ascii="Times New Roman" w:hAnsi="Times New Roman" w:eastAsia="Times New Roman" w:cs="Times New Roman"/>
        </w:rPr>
        <w:t xml:space="preserve"> or </w:t>
      </w:r>
      <w:r w:rsidRPr="77A46A01">
        <w:rPr>
          <w:rFonts w:ascii="Times New Roman" w:hAnsi="Times New Roman" w:eastAsia="Times New Roman" w:cs="Times New Roman"/>
        </w:rPr>
        <w:t xml:space="preserve">toll free at </w:t>
      </w:r>
      <w:r w:rsidRPr="77A46A01" w:rsidR="32842A9B">
        <w:rPr>
          <w:rFonts w:ascii="Times New Roman" w:hAnsi="Times New Roman" w:eastAsia="Times New Roman" w:cs="Times New Roman"/>
        </w:rPr>
        <w:t>1(800)780-7234</w:t>
      </w:r>
      <w:r w:rsidRPr="77A46A01" w:rsidR="516E97D2">
        <w:rPr>
          <w:rFonts w:ascii="Times New Roman" w:hAnsi="Times New Roman" w:eastAsia="Times New Roman" w:cs="Times New Roman"/>
        </w:rPr>
        <w:t>.</w:t>
      </w:r>
      <w:r w:rsidRPr="77A46A01">
        <w:rPr>
          <w:rFonts w:ascii="Times New Roman" w:hAnsi="Times New Roman" w:eastAsia="Times New Roman" w:cs="Times New Roman"/>
        </w:rPr>
        <w:t>  Quote the group</w:t>
      </w:r>
      <w:r w:rsidRPr="77A46A01" w:rsidR="707EC64E">
        <w:rPr>
          <w:rFonts w:ascii="Times New Roman" w:hAnsi="Times New Roman" w:eastAsia="Times New Roman" w:cs="Times New Roman"/>
        </w:rPr>
        <w:t xml:space="preserve"> </w:t>
      </w:r>
      <w:r w:rsidRPr="77A46A01">
        <w:rPr>
          <w:rFonts w:ascii="Times New Roman" w:hAnsi="Times New Roman" w:eastAsia="Times New Roman" w:cs="Times New Roman"/>
        </w:rPr>
        <w:t xml:space="preserve">APES </w:t>
      </w:r>
      <w:r w:rsidRPr="77A46A01" w:rsidR="450E1E76">
        <w:rPr>
          <w:rFonts w:ascii="Times New Roman" w:hAnsi="Times New Roman" w:eastAsia="Times New Roman" w:cs="Times New Roman"/>
        </w:rPr>
        <w:t>+</w:t>
      </w:r>
      <w:r w:rsidRPr="77A46A01">
        <w:rPr>
          <w:rFonts w:ascii="Times New Roman" w:hAnsi="Times New Roman" w:eastAsia="Times New Roman" w:cs="Times New Roman"/>
        </w:rPr>
        <w:t xml:space="preserve"> to receive the discounted rate.</w:t>
      </w:r>
    </w:p>
    <w:p w:rsidRPr="00AD7913" w:rsidR="00AD7913" w:rsidP="00AD7913" w:rsidRDefault="00AD7913" w14:paraId="7315E7D1" w14:textId="77777777">
      <w:pPr>
        <w:spacing w:before="100" w:beforeAutospacing="1" w:after="100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 w:rsidRPr="00AD7913">
        <w:rPr>
          <w:rFonts w:ascii="Times New Roman" w:hAnsi="Times New Roman" w:eastAsia="Times New Roman" w:cs="Times New Roman"/>
          <w:b/>
          <w:bCs/>
          <w:sz w:val="36"/>
          <w:szCs w:val="36"/>
        </w:rPr>
        <w:t>Conference Registration</w:t>
      </w:r>
    </w:p>
    <w:p w:rsidRPr="00AD7913" w:rsidR="00AD7913" w:rsidP="77A46A01" w:rsidRDefault="00AD7913" w14:paraId="2A6B3423" w14:textId="23E697C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eastAsia="Times New Roman" w:cs="Times New Roman"/>
        </w:rPr>
      </w:pPr>
      <w:r w:rsidRPr="77A46A01">
        <w:rPr>
          <w:rFonts w:ascii="Times New Roman" w:hAnsi="Times New Roman" w:eastAsia="Times New Roman" w:cs="Times New Roman"/>
        </w:rPr>
        <w:t>The cost to register for the conference is $</w:t>
      </w:r>
      <w:r w:rsidRPr="77A46A01" w:rsidR="316A47C6">
        <w:rPr>
          <w:rFonts w:ascii="Times New Roman" w:hAnsi="Times New Roman" w:eastAsia="Times New Roman" w:cs="Times New Roman"/>
        </w:rPr>
        <w:t>85</w:t>
      </w:r>
      <w:r w:rsidRPr="77A46A01">
        <w:rPr>
          <w:rFonts w:ascii="Times New Roman" w:hAnsi="Times New Roman" w:eastAsia="Times New Roman" w:cs="Times New Roman"/>
        </w:rPr>
        <w:t xml:space="preserve">. </w:t>
      </w:r>
      <w:r w:rsidR="00E21D98">
        <w:rPr>
          <w:rFonts w:ascii="Times New Roman" w:hAnsi="Times New Roman" w:eastAsia="Times New Roman" w:cs="Times New Roman"/>
        </w:rPr>
        <w:t xml:space="preserve">This cost includes your meals for the duration of the conference. </w:t>
      </w:r>
      <w:r w:rsidRPr="77A46A01">
        <w:rPr>
          <w:rFonts w:ascii="Times New Roman" w:hAnsi="Times New Roman" w:eastAsia="Times New Roman" w:cs="Times New Roman"/>
        </w:rPr>
        <w:t xml:space="preserve">We would appreciate if you could register by </w:t>
      </w:r>
      <w:r w:rsidRPr="77A46A01">
        <w:rPr>
          <w:rFonts w:ascii="Times New Roman" w:hAnsi="Times New Roman" w:eastAsia="Times New Roman" w:cs="Times New Roman"/>
          <w:b/>
          <w:bCs/>
        </w:rPr>
        <w:t>Friday March 10</w:t>
      </w:r>
      <w:r w:rsidRPr="77A46A01">
        <w:rPr>
          <w:rFonts w:ascii="Times New Roman" w:hAnsi="Times New Roman" w:eastAsia="Times New Roman" w:cs="Times New Roman"/>
          <w:b/>
          <w:bCs/>
          <w:vertAlign w:val="superscript"/>
        </w:rPr>
        <w:t>th</w:t>
      </w:r>
      <w:r w:rsidRPr="77A46A01">
        <w:rPr>
          <w:rFonts w:ascii="Times New Roman" w:hAnsi="Times New Roman" w:eastAsia="Times New Roman" w:cs="Times New Roman"/>
        </w:rPr>
        <w:t>.</w:t>
      </w:r>
    </w:p>
    <w:p w:rsidRPr="00AD7913" w:rsidR="00AD7913" w:rsidP="22E717B2" w:rsidRDefault="00AD7913" w14:paraId="6DBBFC40" w14:textId="3B9E3876">
      <w:pPr>
        <w:numPr>
          <w:ilvl w:val="0"/>
          <w:numId w:val="4"/>
        </w:numPr>
        <w:spacing w:before="100" w:beforeAutospacing="on" w:after="100" w:afterAutospacing="on"/>
        <w:rPr>
          <w:rFonts w:ascii="Times New Roman" w:hAnsi="Times New Roman" w:eastAsia="Times New Roman" w:cs="Times New Roman"/>
        </w:rPr>
      </w:pPr>
      <w:r w:rsidRPr="22E717B2" w:rsidR="00AD7913">
        <w:rPr>
          <w:rFonts w:ascii="Times New Roman" w:hAnsi="Times New Roman" w:eastAsia="Times New Roman" w:cs="Times New Roman"/>
        </w:rPr>
        <w:t xml:space="preserve">To register, please complete the </w:t>
      </w:r>
      <w:hyperlink r:id="R610abb39c1964be0">
        <w:r w:rsidRPr="22E717B2" w:rsidR="00E21D98">
          <w:rPr>
            <w:rStyle w:val="Hyperlink"/>
            <w:rFonts w:ascii="Times New Roman" w:hAnsi="Times New Roman" w:eastAsia="Times New Roman" w:cs="Times New Roman"/>
          </w:rPr>
          <w:t>registration and abstract form</w:t>
        </w:r>
        <w:r w:rsidRPr="22E717B2" w:rsidR="00AD7913">
          <w:rPr>
            <w:rStyle w:val="Hyperlink"/>
            <w:rFonts w:ascii="Times New Roman" w:hAnsi="Times New Roman" w:eastAsia="Times New Roman" w:cs="Times New Roman"/>
          </w:rPr>
          <w:t>.</w:t>
        </w:r>
      </w:hyperlink>
    </w:p>
    <w:p w:rsidR="00E21D98" w:rsidP="00E21D98" w:rsidRDefault="00AD7913" w14:paraId="0C22ADC1" w14:textId="514EDAC9">
      <w:pPr>
        <w:numPr>
          <w:ilvl w:val="0"/>
          <w:numId w:val="4"/>
        </w:numPr>
        <w:ind w:left="714" w:hanging="357"/>
        <w:rPr>
          <w:rFonts w:ascii="Times New Roman" w:hAnsi="Times New Roman" w:eastAsia="Times New Roman" w:cs="Times New Roman"/>
        </w:rPr>
      </w:pPr>
      <w:r w:rsidRPr="00E21D98">
        <w:rPr>
          <w:rFonts w:ascii="Times New Roman" w:hAnsi="Times New Roman" w:eastAsia="Times New Roman" w:cs="Times New Roman"/>
          <w:b/>
          <w:bCs/>
        </w:rPr>
        <w:t>Conference registration payment can occur through any of the following options:</w:t>
      </w:r>
      <w:r>
        <w:br/>
      </w:r>
      <w:r w:rsidR="00E21D98">
        <w:rPr>
          <w:rFonts w:ascii="Times New Roman" w:hAnsi="Times New Roman" w:eastAsia="Times New Roman" w:cs="Times New Roman"/>
        </w:rPr>
        <w:t xml:space="preserve">- </w:t>
      </w:r>
      <w:r w:rsidRPr="00E21D98" w:rsidR="00E21D98">
        <w:rPr>
          <w:rFonts w:ascii="Times New Roman" w:hAnsi="Times New Roman" w:eastAsia="Times New Roman" w:cs="Times New Roman"/>
        </w:rPr>
        <w:t xml:space="preserve">An </w:t>
      </w:r>
      <w:proofErr w:type="spellStart"/>
      <w:r w:rsidRPr="00E21D98" w:rsidR="00E21D98">
        <w:rPr>
          <w:rFonts w:ascii="Times New Roman" w:hAnsi="Times New Roman" w:eastAsia="Times New Roman" w:cs="Times New Roman"/>
        </w:rPr>
        <w:t>interac</w:t>
      </w:r>
      <w:proofErr w:type="spellEnd"/>
      <w:r w:rsidRPr="00E21D98" w:rsidR="00E21D98">
        <w:rPr>
          <w:rFonts w:ascii="Times New Roman" w:hAnsi="Times New Roman" w:eastAsia="Times New Roman" w:cs="Times New Roman"/>
        </w:rPr>
        <w:t xml:space="preserve"> e-transfer sent directly to </w:t>
      </w:r>
      <w:hyperlink w:history="1" r:id="rId8">
        <w:r w:rsidRPr="00CB6DA5" w:rsidR="00E21D98">
          <w:rPr>
            <w:rStyle w:val="Hyperlink"/>
            <w:rFonts w:ascii="Times New Roman" w:hAnsi="Times New Roman" w:eastAsia="Times New Roman" w:cs="Times New Roman"/>
          </w:rPr>
          <w:t>grant.handrigan@umoncton.ca</w:t>
        </w:r>
      </w:hyperlink>
      <w:r w:rsidR="00E21D98">
        <w:rPr>
          <w:rFonts w:ascii="Times New Roman" w:hAnsi="Times New Roman" w:eastAsia="Times New Roman" w:cs="Times New Roman"/>
        </w:rPr>
        <w:t xml:space="preserve"> </w:t>
      </w:r>
      <w:r w:rsidRPr="00E21D98" w:rsidR="00E21D98">
        <w:rPr>
          <w:rFonts w:ascii="Times New Roman" w:hAnsi="Times New Roman" w:eastAsia="Times New Roman" w:cs="Times New Roman"/>
        </w:rPr>
        <w:t xml:space="preserve"> </w:t>
      </w:r>
    </w:p>
    <w:p w:rsidRPr="00E21D98" w:rsidR="00AD7913" w:rsidP="00E21D98" w:rsidRDefault="00AD7913" w14:paraId="5FC925C6" w14:textId="4AD70763">
      <w:pPr>
        <w:ind w:left="714"/>
        <w:rPr>
          <w:rFonts w:ascii="Times New Roman" w:hAnsi="Times New Roman" w:eastAsia="Times New Roman" w:cs="Times New Roman"/>
        </w:rPr>
      </w:pPr>
      <w:r w:rsidRPr="00E21D98">
        <w:rPr>
          <w:rFonts w:ascii="Times New Roman" w:hAnsi="Times New Roman" w:eastAsia="Times New Roman" w:cs="Times New Roman"/>
        </w:rPr>
        <w:t>-</w:t>
      </w:r>
      <w:r w:rsidR="00E21D98">
        <w:rPr>
          <w:rFonts w:ascii="Times New Roman" w:hAnsi="Times New Roman" w:eastAsia="Times New Roman" w:cs="Times New Roman"/>
        </w:rPr>
        <w:t xml:space="preserve"> </w:t>
      </w:r>
      <w:r w:rsidRPr="00E21D98">
        <w:rPr>
          <w:rFonts w:ascii="Times New Roman" w:hAnsi="Times New Roman" w:eastAsia="Times New Roman" w:cs="Times New Roman"/>
        </w:rPr>
        <w:t>Cash payment (</w:t>
      </w:r>
      <w:r w:rsidRPr="00E21D98" w:rsidR="7B2E746B">
        <w:rPr>
          <w:rFonts w:ascii="Times New Roman" w:hAnsi="Times New Roman" w:eastAsia="Times New Roman" w:cs="Times New Roman"/>
        </w:rPr>
        <w:t>on-site</w:t>
      </w:r>
      <w:r w:rsidRPr="00E21D98">
        <w:rPr>
          <w:rFonts w:ascii="Times New Roman" w:hAnsi="Times New Roman" w:eastAsia="Times New Roman" w:cs="Times New Roman"/>
        </w:rPr>
        <w:t xml:space="preserve"> registration only).</w:t>
      </w:r>
      <w:r>
        <w:br/>
      </w:r>
      <w:r w:rsidR="00E21D98">
        <w:rPr>
          <w:rFonts w:ascii="Times New Roman" w:hAnsi="Times New Roman" w:eastAsia="Times New Roman" w:cs="Times New Roman"/>
          <w:b/>
          <w:bCs/>
        </w:rPr>
        <w:t>-</w:t>
      </w:r>
      <w:r w:rsidR="00E21D98">
        <w:rPr>
          <w:rFonts w:ascii="Times New Roman" w:hAnsi="Times New Roman" w:eastAsia="Times New Roman" w:cs="Times New Roman"/>
        </w:rPr>
        <w:t xml:space="preserve"> </w:t>
      </w:r>
      <w:r w:rsidRPr="00E21D98">
        <w:rPr>
          <w:rFonts w:ascii="Times New Roman" w:hAnsi="Times New Roman" w:eastAsia="Times New Roman" w:cs="Times New Roman"/>
        </w:rPr>
        <w:t xml:space="preserve">Cheques will be accepted during </w:t>
      </w:r>
      <w:r w:rsidRPr="00E21D98" w:rsidR="21A9D89A">
        <w:rPr>
          <w:rFonts w:ascii="Times New Roman" w:hAnsi="Times New Roman" w:eastAsia="Times New Roman" w:cs="Times New Roman"/>
        </w:rPr>
        <w:t>on-site</w:t>
      </w:r>
      <w:r w:rsidRPr="00E21D98">
        <w:rPr>
          <w:rFonts w:ascii="Times New Roman" w:hAnsi="Times New Roman" w:eastAsia="Times New Roman" w:cs="Times New Roman"/>
        </w:rPr>
        <w:t xml:space="preserve"> registration or can be mailed directly to Grant </w:t>
      </w:r>
      <w:proofErr w:type="spellStart"/>
      <w:r w:rsidRPr="00E21D98">
        <w:rPr>
          <w:rFonts w:ascii="Times New Roman" w:hAnsi="Times New Roman" w:eastAsia="Times New Roman" w:cs="Times New Roman"/>
        </w:rPr>
        <w:t>Handrigan</w:t>
      </w:r>
      <w:proofErr w:type="spellEnd"/>
      <w:r w:rsidRPr="00E21D98">
        <w:rPr>
          <w:rFonts w:ascii="Times New Roman" w:hAnsi="Times New Roman" w:eastAsia="Times New Roman" w:cs="Times New Roman"/>
        </w:rPr>
        <w:t>, Université de Moncton, Campus de Moncton, 18, avenue Antonine-</w:t>
      </w:r>
      <w:proofErr w:type="spellStart"/>
      <w:r w:rsidRPr="00E21D98">
        <w:rPr>
          <w:rFonts w:ascii="Times New Roman" w:hAnsi="Times New Roman" w:eastAsia="Times New Roman" w:cs="Times New Roman"/>
        </w:rPr>
        <w:t>Maillet</w:t>
      </w:r>
      <w:proofErr w:type="spellEnd"/>
      <w:r w:rsidRPr="00E21D98">
        <w:rPr>
          <w:rFonts w:ascii="Times New Roman" w:hAnsi="Times New Roman" w:eastAsia="Times New Roman" w:cs="Times New Roman"/>
        </w:rPr>
        <w:t>, Moncton, NB, E1A 3E9</w:t>
      </w:r>
      <w:r w:rsidRPr="00E21D98">
        <w:rPr>
          <w:rFonts w:ascii="Times New Roman" w:hAnsi="Times New Roman" w:eastAsia="Times New Roman" w:cs="Times New Roman"/>
        </w:rPr>
        <w:br/>
      </w:r>
    </w:p>
    <w:p w:rsidRPr="00AD7913" w:rsidR="00AD7913" w:rsidP="00AD7913" w:rsidRDefault="00AD7913" w14:paraId="42BB06F4" w14:textId="77777777">
      <w:pPr>
        <w:spacing w:before="100" w:beforeAutospacing="1" w:after="100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 w:rsidRPr="00AD7913">
        <w:rPr>
          <w:rFonts w:ascii="Times New Roman" w:hAnsi="Times New Roman" w:eastAsia="Times New Roman" w:cs="Times New Roman"/>
          <w:b/>
          <w:bCs/>
          <w:sz w:val="36"/>
          <w:szCs w:val="36"/>
        </w:rPr>
        <w:t>Abstract Submission and Presentation</w:t>
      </w:r>
    </w:p>
    <w:p w:rsidRPr="00AD7913" w:rsidR="00AD7913" w:rsidP="22E717B2" w:rsidRDefault="00E21D98" w14:paraId="1C06994E" w14:textId="055128CA">
      <w:pPr>
        <w:numPr>
          <w:ilvl w:val="0"/>
          <w:numId w:val="5"/>
        </w:numPr>
        <w:spacing w:before="100" w:beforeAutospacing="on" w:after="100" w:afterAutospacing="on"/>
        <w:rPr>
          <w:rFonts w:ascii="Times New Roman" w:hAnsi="Times New Roman" w:eastAsia="Times New Roman" w:cs="Times New Roman"/>
        </w:rPr>
      </w:pPr>
      <w:r w:rsidRPr="22E717B2" w:rsidR="00E21D98">
        <w:rPr>
          <w:rFonts w:ascii="Times New Roman" w:hAnsi="Times New Roman" w:eastAsia="Times New Roman" w:cs="Times New Roman"/>
        </w:rPr>
        <w:t>For d</w:t>
      </w:r>
      <w:r w:rsidRPr="22E717B2" w:rsidR="00AD7913">
        <w:rPr>
          <w:rFonts w:ascii="Times New Roman" w:hAnsi="Times New Roman" w:eastAsia="Times New Roman" w:cs="Times New Roman"/>
        </w:rPr>
        <w:t>etails regarding abstract or research summary formatting</w:t>
      </w:r>
      <w:r w:rsidRPr="22E717B2" w:rsidR="00E21D98">
        <w:rPr>
          <w:rFonts w:ascii="Times New Roman" w:hAnsi="Times New Roman" w:eastAsia="Times New Roman" w:cs="Times New Roman"/>
        </w:rPr>
        <w:t xml:space="preserve"> please see the</w:t>
      </w:r>
      <w:r w:rsidRPr="22E717B2" w:rsidR="00AD7913">
        <w:rPr>
          <w:rFonts w:ascii="Times New Roman" w:hAnsi="Times New Roman" w:eastAsia="Times New Roman" w:cs="Times New Roman"/>
        </w:rPr>
        <w:t xml:space="preserve"> example abstract found below. The abstract and registration information are to be completed via the </w:t>
      </w:r>
      <w:hyperlink r:id="R90e360a636914055">
        <w:r w:rsidRPr="22E717B2" w:rsidR="00AD7913">
          <w:rPr>
            <w:rStyle w:val="Hyperlink"/>
            <w:rFonts w:ascii="Times New Roman" w:hAnsi="Times New Roman" w:eastAsia="Times New Roman" w:cs="Times New Roman"/>
          </w:rPr>
          <w:t>registration and abstract form</w:t>
        </w:r>
        <w:r w:rsidRPr="22E717B2" w:rsidR="00AD7913">
          <w:rPr>
            <w:rStyle w:val="Hyperlink"/>
            <w:rFonts w:ascii="Times New Roman" w:hAnsi="Times New Roman" w:eastAsia="Times New Roman" w:cs="Times New Roman"/>
          </w:rPr>
          <w:t>.</w:t>
        </w:r>
      </w:hyperlink>
      <w:r w:rsidRPr="22E717B2" w:rsidR="00AD7913">
        <w:rPr>
          <w:rFonts w:ascii="Times New Roman" w:hAnsi="Times New Roman" w:eastAsia="Times New Roman" w:cs="Times New Roman"/>
        </w:rPr>
        <w:t xml:space="preserve"> </w:t>
      </w:r>
    </w:p>
    <w:p w:rsidRPr="00AD7913" w:rsidR="00AD7913" w:rsidP="00AD7913" w:rsidRDefault="00AD7913" w14:paraId="443416EF" w14:textId="6CCC85E1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eastAsia="Times New Roman" w:cs="Times New Roman"/>
        </w:rPr>
      </w:pPr>
      <w:r w:rsidRPr="00AD7913">
        <w:rPr>
          <w:rFonts w:ascii="Times New Roman" w:hAnsi="Times New Roman" w:eastAsia="Times New Roman" w:cs="Times New Roman"/>
        </w:rPr>
        <w:t>The deadline to submit an abstract is</w:t>
      </w:r>
      <w:r>
        <w:rPr>
          <w:rFonts w:ascii="Times New Roman" w:hAnsi="Times New Roman" w:eastAsia="Times New Roman" w:cs="Times New Roman"/>
        </w:rPr>
        <w:t xml:space="preserve"> </w:t>
      </w:r>
      <w:r w:rsidRPr="00AD7913">
        <w:rPr>
          <w:rFonts w:ascii="Times New Roman" w:hAnsi="Times New Roman" w:eastAsia="Times New Roman" w:cs="Times New Roman"/>
          <w:b/>
          <w:bCs/>
        </w:rPr>
        <w:t>Friday March 10</w:t>
      </w:r>
      <w:r w:rsidRPr="00AD7913">
        <w:rPr>
          <w:rFonts w:ascii="Times New Roman" w:hAnsi="Times New Roman" w:eastAsia="Times New Roman" w:cs="Times New Roman"/>
          <w:b/>
          <w:bCs/>
          <w:vertAlign w:val="superscript"/>
        </w:rPr>
        <w:t>th</w:t>
      </w:r>
      <w:r w:rsidRPr="00AD7913">
        <w:rPr>
          <w:rFonts w:ascii="Times New Roman" w:hAnsi="Times New Roman" w:eastAsia="Times New Roman" w:cs="Times New Roman"/>
          <w:b/>
          <w:bCs/>
        </w:rPr>
        <w:t>, 2023</w:t>
      </w:r>
      <w:r w:rsidRPr="00AD7913">
        <w:rPr>
          <w:rFonts w:ascii="Times New Roman" w:hAnsi="Times New Roman" w:eastAsia="Times New Roman" w:cs="Times New Roman"/>
        </w:rPr>
        <w:t>.</w:t>
      </w:r>
    </w:p>
    <w:p w:rsidRPr="00AD7913" w:rsidR="00AD7913" w:rsidP="00AD7913" w:rsidRDefault="00AD7913" w14:paraId="1F16C03C" w14:textId="7777777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eastAsia="Times New Roman" w:cs="Times New Roman"/>
        </w:rPr>
      </w:pPr>
      <w:r w:rsidRPr="00AD7913">
        <w:rPr>
          <w:rFonts w:ascii="Times New Roman" w:hAnsi="Times New Roman" w:eastAsia="Times New Roman" w:cs="Times New Roman"/>
        </w:rPr>
        <w:t>Oral presentations will be 10 minutes in duration with 5 minutes permitted for questions.  There will be no poster presentation sessions.</w:t>
      </w:r>
    </w:p>
    <w:p w:rsidR="00C210A5" w:rsidRDefault="00C210A5" w14:paraId="4687E4BC" w14:textId="77777777">
      <w:pPr>
        <w:sectPr w:rsidR="00C210A5" w:rsidSect="00AD79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orient="portrait"/>
          <w:pgMar w:top="720" w:right="720" w:bottom="720" w:left="720" w:header="708" w:footer="708" w:gutter="0"/>
          <w:cols w:space="708"/>
          <w:docGrid w:linePitch="360"/>
        </w:sectPr>
      </w:pPr>
    </w:p>
    <w:p w:rsidR="00C210A5" w:rsidP="00C210A5" w:rsidRDefault="00C210A5" w14:paraId="5C0CE725" w14:textId="77777777">
      <w:pPr>
        <w:jc w:val="both"/>
        <w:rPr>
          <w:rFonts w:ascii="Times New Roman" w:hAnsi="Times New Roman" w:cs="Times New Roman"/>
          <w:b/>
          <w:bCs/>
          <w:lang w:val="fr-CA"/>
        </w:rPr>
      </w:pPr>
    </w:p>
    <w:p w:rsidR="00C210A5" w:rsidP="00C210A5" w:rsidRDefault="00C210A5" w14:paraId="1EA5BB21" w14:textId="1E4F87C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210A5">
        <w:rPr>
          <w:rFonts w:ascii="Times New Roman" w:hAnsi="Times New Roman" w:cs="Times New Roman"/>
          <w:b/>
          <w:bCs/>
          <w:sz w:val="48"/>
          <w:szCs w:val="48"/>
        </w:rPr>
        <w:t>EXAMPLE</w:t>
      </w:r>
    </w:p>
    <w:p w:rsidRPr="00C210A5" w:rsidR="00C210A5" w:rsidP="00C210A5" w:rsidRDefault="00C210A5" w14:paraId="6C17D393" w14:textId="7777777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210A5" w:rsidP="00C210A5" w:rsidRDefault="00C210A5" w14:paraId="0430B17C" w14:textId="77777777">
      <w:pPr>
        <w:jc w:val="both"/>
        <w:rPr>
          <w:rFonts w:ascii="Times New Roman" w:hAnsi="Times New Roman" w:cs="Times New Roman"/>
          <w:b/>
          <w:bCs/>
          <w:lang w:val="fr-CA"/>
        </w:rPr>
      </w:pPr>
    </w:p>
    <w:p w:rsidRPr="0014512A" w:rsidR="00C210A5" w:rsidP="77A46A01" w:rsidRDefault="00C210A5" w14:paraId="54EF7985" w14:textId="5708B5BB">
      <w:pPr>
        <w:jc w:val="both"/>
        <w:rPr>
          <w:rFonts w:ascii="Times New Roman" w:hAnsi="Times New Roman" w:eastAsia="Times New Roman" w:cs="Times New Roman"/>
          <w:lang w:val="fr-CA"/>
        </w:rPr>
      </w:pPr>
      <w:r w:rsidRPr="77A46A01">
        <w:rPr>
          <w:rFonts w:ascii="Times New Roman" w:hAnsi="Times New Roman" w:eastAsia="Times New Roman" w:cs="Times New Roman"/>
          <w:b/>
          <w:bCs/>
          <w:lang w:val="fr-CA"/>
        </w:rPr>
        <w:t>ÉVALUATION DE LA VALIDITÉ ET DE LA FIABILITÉ D'UN AMPLIFICATEUR À BASE DE MICROCONTRÔLEUR À FAIBLE COÛT POUR MESURER LA FORCE MUSCULAIRE DES MEMBRES INFÉRIEURS ET SUPÉRIEURS</w:t>
      </w:r>
    </w:p>
    <w:p w:rsidRPr="00C55E3E" w:rsidR="00C210A5" w:rsidP="00E21D98" w:rsidRDefault="00C210A5" w14:paraId="1995DBB8" w14:textId="72BFC8F9">
      <w:pPr>
        <w:pStyle w:val="NormalWeb"/>
        <w:rPr>
          <w:lang w:val="fr-CA"/>
        </w:rPr>
      </w:pPr>
      <w:r w:rsidRPr="77A46A01">
        <w:rPr>
          <w:lang w:val="fr-CA"/>
        </w:rPr>
        <w:t xml:space="preserve">Julie Gaudet &amp; Grant </w:t>
      </w:r>
      <w:proofErr w:type="spellStart"/>
      <w:r w:rsidRPr="77A46A01">
        <w:rPr>
          <w:lang w:val="fr-CA"/>
        </w:rPr>
        <w:t>Handrigan</w:t>
      </w:r>
      <w:proofErr w:type="spellEnd"/>
      <w:r w:rsidRPr="00E21D98">
        <w:rPr>
          <w:lang w:val="fr-FR"/>
        </w:rPr>
        <w:br/>
      </w:r>
      <w:r w:rsidRPr="77A46A01">
        <w:rPr>
          <w:lang w:val="fr-CA"/>
        </w:rPr>
        <w:t>École de kinésiologie et de loisirs, Facul</w:t>
      </w:r>
      <w:r w:rsidRPr="77A46A01" w:rsidR="11B02DF3">
        <w:rPr>
          <w:lang w:val="fr-CA"/>
        </w:rPr>
        <w:t>té</w:t>
      </w:r>
      <w:r w:rsidRPr="77A46A01">
        <w:rPr>
          <w:lang w:val="fr-CA"/>
        </w:rPr>
        <w:t xml:space="preserve"> des sciences de la santé et des services communautaires, Université́ de Moncton, Moncton, Canada</w:t>
      </w:r>
    </w:p>
    <w:p w:rsidRPr="00C55E3E" w:rsidR="00C210A5" w:rsidP="77A46A01" w:rsidRDefault="00C210A5" w14:paraId="251AE85B" w14:textId="27878A5F">
      <w:pPr>
        <w:pStyle w:val="NormalWeb"/>
        <w:rPr>
          <w:b/>
          <w:bCs/>
        </w:rPr>
      </w:pPr>
      <w:r w:rsidRPr="77A46A01">
        <w:rPr>
          <w:b/>
          <w:bCs/>
        </w:rPr>
        <w:t xml:space="preserve">Introduction: </w:t>
      </w:r>
      <w:r w:rsidRPr="00E21D98" w:rsidR="00E21D98">
        <w:t>Muscle strength is an important measure of functional ability.</w:t>
      </w:r>
      <w:r w:rsidR="00E21D98">
        <w:rPr>
          <w:b/>
          <w:bCs/>
        </w:rPr>
        <w:t xml:space="preserve"> </w:t>
      </w:r>
      <w:r w:rsidRPr="77A46A01">
        <w:t xml:space="preserve">There are several methods of measuring muscle strength, ranging from manual tests to sophisticated instruments. Recently, there has been a proliferation of inexpensive tools that can </w:t>
      </w:r>
      <w:r w:rsidR="00E21D98">
        <w:t xml:space="preserve">adapted to </w:t>
      </w:r>
      <w:r w:rsidRPr="77A46A01">
        <w:t>measure muscle strength. This study aims to evaluate the inter- and intra-session validity and reliability of a low-cost microcontroller-based load cell amplifier for measuring maximal isometric muscle strength in the lower and upper limbs</w:t>
      </w:r>
      <w:r w:rsidRPr="77A46A01">
        <w:rPr>
          <w:b/>
          <w:bCs/>
        </w:rPr>
        <w:t>.</w:t>
      </w:r>
    </w:p>
    <w:p w:rsidRPr="00C55E3E" w:rsidR="00C210A5" w:rsidP="77A46A01" w:rsidRDefault="00C210A5" w14:paraId="1450B29E" w14:textId="77777777">
      <w:pPr>
        <w:pStyle w:val="NormalWeb"/>
        <w:rPr>
          <w:b/>
          <w:bCs/>
        </w:rPr>
      </w:pPr>
      <w:r w:rsidRPr="77A46A01">
        <w:rPr>
          <w:b/>
          <w:bCs/>
        </w:rPr>
        <w:t xml:space="preserve">Methods: </w:t>
      </w:r>
      <w:r w:rsidRPr="77A46A01">
        <w:t>The low-cost microcontroller-based amplifier was compared to a commercial-grade signal conditioner and a hand-held force gauge.</w:t>
      </w:r>
    </w:p>
    <w:p w:rsidRPr="00C55E3E" w:rsidR="00C210A5" w:rsidP="77A46A01" w:rsidRDefault="00C210A5" w14:paraId="76E11CC7" w14:textId="77777777">
      <w:pPr>
        <w:pStyle w:val="NormalWeb"/>
      </w:pPr>
      <w:r w:rsidRPr="77A46A01">
        <w:rPr>
          <w:b/>
          <w:bCs/>
        </w:rPr>
        <w:t xml:space="preserve">Results: </w:t>
      </w:r>
      <w:r w:rsidRPr="77A46A01">
        <w:t xml:space="preserve">The microcontroller-based device correlated almost perfectly with the other </w:t>
      </w:r>
      <w:proofErr w:type="gramStart"/>
      <w:r w:rsidRPr="77A46A01">
        <w:t>instruments, and</w:t>
      </w:r>
      <w:proofErr w:type="gramEnd"/>
      <w:r w:rsidRPr="77A46A01">
        <w:t xml:space="preserve"> had a good to excellent ICC association for inter- and intra-session reliability.</w:t>
      </w:r>
    </w:p>
    <w:p w:rsidR="00C210A5" w:rsidP="77A46A01" w:rsidRDefault="00C210A5" w14:paraId="351A0624" w14:textId="77777777">
      <w:pPr>
        <w:pStyle w:val="NormalWeb"/>
      </w:pPr>
      <w:r w:rsidRPr="77A46A01">
        <w:rPr>
          <w:b/>
          <w:bCs/>
        </w:rPr>
        <w:t xml:space="preserve">Conclusion: </w:t>
      </w:r>
      <w:r w:rsidRPr="77A46A01">
        <w:t>The low-cost microcontroller-based amplifier is comparable to the commercial signal conditioner and hand-held dynamometer for measuring maximal isometric muscle force.</w:t>
      </w:r>
    </w:p>
    <w:p w:rsidRPr="00C55E3E" w:rsidR="00C210A5" w:rsidP="77A46A01" w:rsidRDefault="09EAEB06" w14:paraId="426A52B1" w14:textId="78ADB069">
      <w:pPr>
        <w:pStyle w:val="NormalWeb"/>
        <w:rPr>
          <w:b/>
          <w:bCs/>
        </w:rPr>
      </w:pPr>
      <w:r w:rsidRPr="77A46A01">
        <w:rPr>
          <w:b/>
          <w:bCs/>
        </w:rPr>
        <w:t>References:</w:t>
      </w:r>
      <w:r w:rsidRPr="77A46A01" w:rsidR="00C210A5">
        <w:rPr>
          <w:b/>
          <w:bCs/>
        </w:rPr>
        <w:t xml:space="preserve"> </w:t>
      </w:r>
    </w:p>
    <w:p w:rsidRPr="00E21D98" w:rsidR="7C0B444B" w:rsidP="00E21D98" w:rsidRDefault="7C0B444B" w14:paraId="36CB1F4E" w14:textId="265E6199">
      <w:pPr>
        <w:pStyle w:val="ListParagraph"/>
        <w:numPr>
          <w:ilvl w:val="1"/>
          <w:numId w:val="4"/>
        </w:numPr>
        <w:ind w:left="284" w:hanging="284"/>
        <w:jc w:val="both"/>
        <w:rPr>
          <w:rFonts w:ascii="Times New Roman" w:hAnsi="Times New Roman" w:eastAsia="Times New Roman" w:cs="Times New Roman"/>
          <w:color w:val="222222"/>
        </w:rPr>
      </w:pPr>
      <w:r w:rsidRPr="00E21D98">
        <w:rPr>
          <w:rFonts w:ascii="Times New Roman" w:hAnsi="Times New Roman" w:eastAsia="Times New Roman" w:cs="Times New Roman"/>
          <w:color w:val="222222"/>
        </w:rPr>
        <w:t>Jaric, S. Muscle Strength Testing. Sports Med. 2002, 32, 615–631.</w:t>
      </w:r>
    </w:p>
    <w:p w:rsidRPr="00E21D98" w:rsidR="7C0B444B" w:rsidP="00E21D98" w:rsidRDefault="7C0B444B" w14:paraId="25D2F028" w14:textId="2B26165A">
      <w:pPr>
        <w:pStyle w:val="ListParagraph"/>
        <w:numPr>
          <w:ilvl w:val="1"/>
          <w:numId w:val="4"/>
        </w:numPr>
        <w:ind w:left="284" w:hanging="284"/>
        <w:jc w:val="both"/>
        <w:rPr>
          <w:rFonts w:ascii="Times New Roman" w:hAnsi="Times New Roman" w:eastAsia="Times New Roman" w:cs="Times New Roman"/>
        </w:rPr>
      </w:pPr>
      <w:r w:rsidRPr="00E21D98">
        <w:rPr>
          <w:rFonts w:ascii="Times New Roman" w:hAnsi="Times New Roman" w:eastAsia="Times New Roman" w:cs="Times New Roman"/>
          <w:color w:val="222222"/>
        </w:rPr>
        <w:t xml:space="preserve">Moss, C.L.; Wright, P.T. Comparison of Three Methods of Assessing Muscle </w:t>
      </w:r>
      <w:proofErr w:type="gramStart"/>
      <w:r w:rsidRPr="00E21D98">
        <w:rPr>
          <w:rFonts w:ascii="Times New Roman" w:hAnsi="Times New Roman" w:eastAsia="Times New Roman" w:cs="Times New Roman"/>
          <w:color w:val="222222"/>
        </w:rPr>
        <w:t>Strength</w:t>
      </w:r>
      <w:proofErr w:type="gramEnd"/>
      <w:r w:rsidRPr="00E21D98">
        <w:rPr>
          <w:rFonts w:ascii="Times New Roman" w:hAnsi="Times New Roman" w:eastAsia="Times New Roman" w:cs="Times New Roman"/>
          <w:color w:val="222222"/>
        </w:rPr>
        <w:t xml:space="preserve"> and</w:t>
      </w:r>
      <w:r w:rsidRPr="00E21D98" w:rsidR="00E21D98">
        <w:rPr>
          <w:rFonts w:ascii="Times New Roman" w:hAnsi="Times New Roman" w:eastAsia="Times New Roman" w:cs="Times New Roman"/>
          <w:color w:val="222222"/>
        </w:rPr>
        <w:t xml:space="preserve"> </w:t>
      </w:r>
      <w:r w:rsidRPr="00E21D98">
        <w:rPr>
          <w:rFonts w:ascii="Times New Roman" w:hAnsi="Times New Roman" w:eastAsia="Times New Roman" w:cs="Times New Roman"/>
          <w:color w:val="222222"/>
        </w:rPr>
        <w:t>Imbalance Ratios of the Knee. J. Athl. Train. 1993, 28, 55–58.</w:t>
      </w:r>
    </w:p>
    <w:p w:rsidR="00E20BEC" w:rsidP="77A46A01" w:rsidRDefault="48D09A15" w14:paraId="20022CC4" w14:textId="728A2F13">
      <w:pPr>
        <w:pStyle w:val="NormalWeb"/>
        <w:rPr>
          <w:color w:val="222222"/>
        </w:rPr>
      </w:pPr>
      <w:r w:rsidRPr="77A46A01">
        <w:rPr>
          <w:b/>
          <w:bCs/>
        </w:rPr>
        <w:t>Acknowledgements:</w:t>
      </w:r>
      <w:r w:rsidRPr="77A46A01" w:rsidR="00C210A5">
        <w:rPr>
          <w:b/>
          <w:bCs/>
        </w:rPr>
        <w:t xml:space="preserve"> </w:t>
      </w:r>
      <w:r w:rsidRPr="77A46A01" w:rsidR="00F82E9E">
        <w:rPr>
          <w:color w:val="222222"/>
        </w:rPr>
        <w:t xml:space="preserve">We would like to thank all our participants for volunteering their time to assist with this project. Also, all members of the Biomechanics, Ergonomics and Analyse du </w:t>
      </w:r>
      <w:proofErr w:type="spellStart"/>
      <w:r w:rsidRPr="77A46A01" w:rsidR="00F82E9E">
        <w:rPr>
          <w:color w:val="222222"/>
        </w:rPr>
        <w:t>Mouvement</w:t>
      </w:r>
      <w:proofErr w:type="spellEnd"/>
      <w:r w:rsidRPr="77A46A01" w:rsidR="00F82E9E">
        <w:rPr>
          <w:color w:val="222222"/>
        </w:rPr>
        <w:t xml:space="preserve"> (BEAM) laboratory for their assistance and encouragement during data collection. This research was partially funded by the Canadian Frailty Network Catalyst Grant CAT 2018-15. and the CFN-NBHRF Summer Studentship 2020 SSA grant as salary support for J.G.</w:t>
      </w:r>
    </w:p>
    <w:sectPr w:rsidR="00E20BEC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7ACC" w:rsidP="00C210A5" w:rsidRDefault="00047ACC" w14:paraId="1B25FF07" w14:textId="77777777">
      <w:r>
        <w:separator/>
      </w:r>
    </w:p>
  </w:endnote>
  <w:endnote w:type="continuationSeparator" w:id="0">
    <w:p w:rsidR="00047ACC" w:rsidP="00C210A5" w:rsidRDefault="00047ACC" w14:paraId="1AB570B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10A5" w:rsidRDefault="00C210A5" w14:paraId="2E17742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10A5" w:rsidRDefault="00C210A5" w14:paraId="1C86A6B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10A5" w:rsidRDefault="00C210A5" w14:paraId="329C506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7ACC" w:rsidP="00C210A5" w:rsidRDefault="00047ACC" w14:paraId="2420E6E7" w14:textId="77777777">
      <w:r>
        <w:separator/>
      </w:r>
    </w:p>
  </w:footnote>
  <w:footnote w:type="continuationSeparator" w:id="0">
    <w:p w:rsidR="00047ACC" w:rsidP="00C210A5" w:rsidRDefault="00047ACC" w14:paraId="466A4F8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10A5" w:rsidRDefault="00C210A5" w14:paraId="30FBF980" w14:textId="0081D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10A5" w:rsidRDefault="00C210A5" w14:paraId="79958FEA" w14:textId="10271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10A5" w:rsidRDefault="00C210A5" w14:paraId="309DAB09" w14:textId="3CB17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8837"/>
    <w:multiLevelType w:val="hybridMultilevel"/>
    <w:tmpl w:val="6276A1EC"/>
    <w:lvl w:ilvl="0" w:tplc="63763D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5CBF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9AA1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0ACC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9278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A25F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300D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7251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A8F0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A424D2"/>
    <w:multiLevelType w:val="multilevel"/>
    <w:tmpl w:val="F52A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94B5D06"/>
    <w:multiLevelType w:val="multilevel"/>
    <w:tmpl w:val="E300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B564390"/>
    <w:multiLevelType w:val="multilevel"/>
    <w:tmpl w:val="4292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9BB4B86"/>
    <w:multiLevelType w:val="multilevel"/>
    <w:tmpl w:val="125A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32967222">
    <w:abstractNumId w:val="0"/>
  </w:num>
  <w:num w:numId="2" w16cid:durableId="1188569712">
    <w:abstractNumId w:val="3"/>
  </w:num>
  <w:num w:numId="3" w16cid:durableId="1244027316">
    <w:abstractNumId w:val="2"/>
  </w:num>
  <w:num w:numId="4" w16cid:durableId="312024794">
    <w:abstractNumId w:val="1"/>
  </w:num>
  <w:num w:numId="5" w16cid:durableId="1129325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13"/>
    <w:rsid w:val="00047ACC"/>
    <w:rsid w:val="002D6BD3"/>
    <w:rsid w:val="00AC7AB3"/>
    <w:rsid w:val="00AD7913"/>
    <w:rsid w:val="00C210A5"/>
    <w:rsid w:val="00E20BEC"/>
    <w:rsid w:val="00E21D98"/>
    <w:rsid w:val="00E831D7"/>
    <w:rsid w:val="00F64FEF"/>
    <w:rsid w:val="00F82E9E"/>
    <w:rsid w:val="034B5172"/>
    <w:rsid w:val="081EC295"/>
    <w:rsid w:val="09491F65"/>
    <w:rsid w:val="09EAEB06"/>
    <w:rsid w:val="0C80C027"/>
    <w:rsid w:val="0E1C9088"/>
    <w:rsid w:val="10443E72"/>
    <w:rsid w:val="11505A83"/>
    <w:rsid w:val="11B02DF3"/>
    <w:rsid w:val="16E3BD7C"/>
    <w:rsid w:val="17B1DF63"/>
    <w:rsid w:val="1A029C16"/>
    <w:rsid w:val="1C51B101"/>
    <w:rsid w:val="1D86016C"/>
    <w:rsid w:val="1E42D7CC"/>
    <w:rsid w:val="1F4550F5"/>
    <w:rsid w:val="214ABBA6"/>
    <w:rsid w:val="21A9D89A"/>
    <w:rsid w:val="22E717B2"/>
    <w:rsid w:val="2C9A1D14"/>
    <w:rsid w:val="305C553A"/>
    <w:rsid w:val="316A47C6"/>
    <w:rsid w:val="32842A9B"/>
    <w:rsid w:val="33A9E3B6"/>
    <w:rsid w:val="34D73F07"/>
    <w:rsid w:val="3AB0297D"/>
    <w:rsid w:val="3DA623C0"/>
    <w:rsid w:val="3E54D7BF"/>
    <w:rsid w:val="3E754DA6"/>
    <w:rsid w:val="3EDE757B"/>
    <w:rsid w:val="4010F104"/>
    <w:rsid w:val="41B00173"/>
    <w:rsid w:val="4312274D"/>
    <w:rsid w:val="450E1E76"/>
    <w:rsid w:val="47FAD211"/>
    <w:rsid w:val="482CF119"/>
    <w:rsid w:val="48B023F5"/>
    <w:rsid w:val="48D09A15"/>
    <w:rsid w:val="4A2552C8"/>
    <w:rsid w:val="4B5C1E67"/>
    <w:rsid w:val="516E97D2"/>
    <w:rsid w:val="555E858B"/>
    <w:rsid w:val="57134586"/>
    <w:rsid w:val="59D924A8"/>
    <w:rsid w:val="5AA891AA"/>
    <w:rsid w:val="5ACF4D37"/>
    <w:rsid w:val="5BBA4257"/>
    <w:rsid w:val="5CA49525"/>
    <w:rsid w:val="5CF79D0D"/>
    <w:rsid w:val="5D638163"/>
    <w:rsid w:val="5DCA3CD0"/>
    <w:rsid w:val="5FE53374"/>
    <w:rsid w:val="625D97A4"/>
    <w:rsid w:val="6CE6E3C8"/>
    <w:rsid w:val="707EC64E"/>
    <w:rsid w:val="7139248C"/>
    <w:rsid w:val="71A29DB7"/>
    <w:rsid w:val="71AAE62C"/>
    <w:rsid w:val="760899A0"/>
    <w:rsid w:val="77453358"/>
    <w:rsid w:val="77A46A01"/>
    <w:rsid w:val="7888C142"/>
    <w:rsid w:val="79BD9788"/>
    <w:rsid w:val="7B2E746B"/>
    <w:rsid w:val="7C0B444B"/>
    <w:rsid w:val="7D61386E"/>
    <w:rsid w:val="7E45C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75942"/>
  <w15:chartTrackingRefBased/>
  <w15:docId w15:val="{7C76F09D-FD7E-2345-AECF-97504811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7913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AD7913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D791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7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91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D7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91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D79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0A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210A5"/>
  </w:style>
  <w:style w:type="paragraph" w:styleId="Footer">
    <w:name w:val="footer"/>
    <w:basedOn w:val="Normal"/>
    <w:link w:val="FooterChar"/>
    <w:uiPriority w:val="99"/>
    <w:unhideWhenUsed/>
    <w:rsid w:val="00C210A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210A5"/>
  </w:style>
  <w:style w:type="paragraph" w:styleId="NormalWeb">
    <w:name w:val="Normal (Web)"/>
    <w:basedOn w:val="Normal"/>
    <w:uiPriority w:val="99"/>
    <w:unhideWhenUsed/>
    <w:rsid w:val="00C210A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21D9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1D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1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grant.handrigan@umoncton.ca" TargetMode="External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hyperlink" Target="https://www.google.ca/maps/dir/CEPS+Louis-J.-Robichaud,+Antonine-Maillet+Avenue,+Moncton,+NB/Best+Western+Plus+Moncton,+300+Lewisville+Rd,+Moncton,+NB+E1A+5Y4/@46.1060602,-64.7932043,14z/am=t/data=!3m1!4b1!4m19!4m18!1m10!1m1!1s0x4ca0bed4eab60727:0xe386d57b1970f1c9!2m2!1d-64.785091!2d46.1080186!3m4!1m2!1d-64.7870075!2d46.1087077!3s0x4ca0bf2a4036c157:0x8c41e329791a39f1!1m5!1m1!1s0x4ca0beccef58ee85:0x231a16d48247ff6b!2m2!1d-64.7645529!2d46.1010376!3e0" TargetMode="Externa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survey.beamlab.ca/index.php/437125?lang=en" TargetMode="External" Id="R610abb39c1964be0" /><Relationship Type="http://schemas.openxmlformats.org/officeDocument/2006/relationships/hyperlink" Target="https://survey.beamlab.ca/index.php/437125?lang=en" TargetMode="External" Id="R90e360a6369140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Grant Handrigan</dc:creator>
  <keywords/>
  <dc:description/>
  <lastModifiedBy>Mélanie Guitar</lastModifiedBy>
  <revision>5</revision>
  <dcterms:created xsi:type="dcterms:W3CDTF">2023-02-14T13:00:00.0000000Z</dcterms:created>
  <dcterms:modified xsi:type="dcterms:W3CDTF">2023-02-16T20:31:45.5208211Z</dcterms:modified>
</coreProperties>
</file>